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  <w:t xml:space="preserve">Stanowisko Rektorów Uczelni Medycznych </w:t>
        <w:br/>
        <w:t xml:space="preserve">w sprawie rozwagi w wypowiedziach na temat epidemii COVID-19 </w:t>
      </w:r>
    </w:p>
    <w:p>
      <w:pPr>
        <w:pStyle w:val="Normal"/>
        <w:spacing w:lineRule="auto" w:line="276" w:before="0" w:after="0"/>
        <w:jc w:val="center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  <w:t>oraz roli szczepień na grypę</w:t>
      </w:r>
    </w:p>
    <w:p>
      <w:pPr>
        <w:pStyle w:val="Normal"/>
        <w:spacing w:lineRule="auto" w:line="276" w:before="0" w:after="0"/>
        <w:jc w:val="center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 w:cs="Arial"/>
          <w:b/>
          <w:b/>
          <w:sz w:val="24"/>
          <w:szCs w:val="24"/>
        </w:rPr>
      </w:pPr>
      <w:r>
        <w:rPr>
          <w:rFonts w:cs="Arial" w:ascii="Garamond" w:hAnsi="Garamond"/>
          <w:b/>
          <w:sz w:val="24"/>
          <w:szCs w:val="24"/>
        </w:rPr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W ostatnim czasie z dużym niepokojem obserwujemy wypowiedzi niektórych polityków na temat sukcesu w walce  z epidemią COVID i rychłej perspektywie końca epidemii.  </w:t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W imieniu środowiska uczelni medycznych pragniemy zwrócić uwagę, </w:t>
        <w:br/>
        <w:t xml:space="preserve">że stwierdzenia o przezwyciężeniu epidemii w Polsce i mniejszej aktywności wirusa odpowiedzialnego za infekcje COVID-19 w okresie letnim są zdecydowanie przedwczesne i wprowadzają opinię publiczną w błąd, co może skutkować znacznym zwiększeniem liczby przypadków i doprowadzić do kolejnych tragedii. </w:t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Aktualnie, jedynym skutecznym sposobem na ograniczenie rozprzestrzeniania COVID-19 jest utrzymywanie dystansu społecznego, stosowanie środków ochrony dróg oddechowych, szczególnie w pomieszczaniach zamkniętych oraz badania molekularne  w kierunku zakażenia SARS-CoV-2. </w:t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W związku z powyższym zwracamy się z apelem do wszystkich obywateli naszego kraju o przestrzeganie powyższych zasad. </w:t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Ponadto, pragniemy podkreślić, że szczepienia na grypę są uznaną i rekomendowaną przez autorytety naukowe metodą profilaktyki zachorowań i w istotny sposób zmniejszają ryzyko hospitalizacji i zgonu z powodu grypy.</w:t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Prosimy także o rozwagę i odpowiedzialność w wypowiedziach oraz zachowaniach osób mających duży wpływ na opinię publiczną, a w szczególności przedstawicieli rządu, parlamentu, mediów i pracowników systemu opieki zdrowotnej.   </w:t>
      </w:r>
    </w:p>
    <w:p>
      <w:pPr>
        <w:pStyle w:val="Normal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Prof. dr hab. med. Tomasz Grodzicki - Prorektor UJ ds. Collegium Medicum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Uniwersytet Jagielloński </w:t>
        <w:noBreakHyphen/>
        <w:t xml:space="preserve"> Collegium Medicum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Prof. dr hab. Sergiusz Nawrocki – Prorektor ds. Collegium Medicum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Uniwersytet Warmińsko-Mazurski w Olsztynie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Prof. dr hab. Marcin Gruchała – Rektor Gdańskiego Uniwersytetu Medycznego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Gdański Uniwersytet Medyczny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Prof. dr hab. Mirosław Wielgoś – Rektor Warszawskiego Uniwersytetu Medycznego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Warszawski Uniwersytet Medyczny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Prof. dr hab. Ryszard Gellert – Dyrektor Centrum Medycznego Kształcenia Podyplomowego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Centrum Medyczne Kształcenia Podyplomowego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Prof. dr hab. Andrzej Tykarski – Rektor Uniwersytetu Medycznego im. K. Marcinkowskiego w Poznaniu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Uniwersytet Medyczny im. K. Marcinkowskiego w Poznaniu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Prof. dr hab. Piotr Ponikowski – p.o. Rektora Uniwersytetu Medycznego im. Piastów Śląskich we Wrocławiu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Uniwersytet Medyczny im. Piastów Śląskich we Wrocławiu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Prof. dr ha. Andrzej Drop – Rektor Uniwersytetu Medycznego w Lublinie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>Uniwersytet Medyczny w Lublinie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Prof. dr hab. Jacek Manitius – Prorektor ds. Collegium Medicum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  <w:t xml:space="preserve">Uniwersytet Mikołaja Kopernika w Toruniu Collegium Medicum im. Ludwika Rydygiera w Bydgoszczy </w:t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</w:p>
    <w:p>
      <w:pPr>
        <w:pStyle w:val="Normal"/>
        <w:spacing w:lineRule="auto" w:line="240"/>
        <w:jc w:val="both"/>
        <w:rPr>
          <w:rFonts w:ascii="Garamond" w:hAnsi="Garamond" w:cs="Arial"/>
          <w:sz w:val="24"/>
        </w:rPr>
      </w:pPr>
      <w:r>
        <w:rPr>
          <w:rFonts w:cs="Arial" w:ascii="Garamond" w:hAnsi="Garamond"/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LibreOffice/6.4.3.2$Windows_X86_64 LibreOffice_project/747b5d0ebf89f41c860ec2a39efd7cb15b54f2d8</Application>
  <Pages>2</Pages>
  <Words>335</Words>
  <Characters>2276</Characters>
  <CharactersWithSpaces>2616</CharactersWithSpaces>
  <Paragraphs>26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2020-07-09T14:14:00Z</dcterms:created>
  <dc:creator>ADMOK</dc:creator>
  <dc:description/>
  <dc:language>pl-PL</dc:language>
  <cp:lastModifiedBy>Czopek Sylwia</cp:lastModifiedBy>
  <dcterms:modified xsi:type="dcterms:W3CDTF">2020-07-13T08:03:00Z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